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32"/>
        </w:rPr>
      </w:pPr>
      <w:r>
        <w:rPr>
          <w:rFonts w:hint="eastAsia" w:asciiTheme="minorHAnsi" w:hAnsiTheme="minorHAnsi" w:eastAsiaTheme="majorEastAsia" w:cstheme="minorHAnsi"/>
          <w:b/>
          <w:kern w:val="0"/>
          <w:sz w:val="32"/>
          <w:szCs w:val="32"/>
        </w:rPr>
        <w:t xml:space="preserve">加拿大多伦多大学 </w:t>
      </w:r>
    </w:p>
    <w:p>
      <w:pPr>
        <w:widowControl/>
        <w:spacing w:line="360" w:lineRule="auto"/>
        <w:jc w:val="center"/>
        <w:rPr>
          <w:rFonts w:asciiTheme="minorHAnsi" w:hAnsiTheme="minorHAnsi" w:eastAsiaTheme="majorEastAsia" w:cstheme="minorHAnsi"/>
          <w:b/>
          <w:kern w:val="0"/>
          <w:sz w:val="32"/>
          <w:szCs w:val="32"/>
        </w:rPr>
      </w:pPr>
      <w:r>
        <w:rPr>
          <w:rFonts w:hint="eastAsia" w:asciiTheme="minorHAnsi" w:hAnsiTheme="minorHAnsi" w:eastAsiaTheme="majorEastAsia" w:cstheme="minorHAnsi"/>
          <w:b/>
          <w:kern w:val="0"/>
          <w:sz w:val="32"/>
          <w:szCs w:val="32"/>
        </w:rPr>
        <w:t>2020春季</w:t>
      </w:r>
      <w:r>
        <w:rPr>
          <w:rFonts w:asciiTheme="minorHAnsi" w:hAnsiTheme="minorHAnsi" w:eastAsiaTheme="majorEastAsia" w:cstheme="minorHAnsi"/>
          <w:b/>
          <w:kern w:val="0"/>
          <w:sz w:val="32"/>
          <w:szCs w:val="32"/>
        </w:rPr>
        <w:t>访学项目</w:t>
      </w:r>
    </w:p>
    <w:p>
      <w:pPr>
        <w:widowControl/>
        <w:spacing w:line="360" w:lineRule="auto"/>
        <w:jc w:val="center"/>
        <w:rPr>
          <w:rFonts w:asciiTheme="minorHAnsi" w:hAnsiTheme="minorHAnsi" w:eastAsiaTheme="majorEastAsia" w:cstheme="minorHAnsi"/>
          <w:b/>
          <w:kern w:val="0"/>
          <w:sz w:val="32"/>
          <w:szCs w:val="32"/>
        </w:rPr>
      </w:pPr>
      <w:r>
        <w:rPr>
          <w:rFonts w:hint="eastAsia" w:asciiTheme="minorHAnsi" w:hAnsiTheme="minorHAnsi" w:eastAsiaTheme="majorEastAsia" w:cstheme="minorHAnsi"/>
          <w:b/>
          <w:kern w:val="0"/>
          <w:sz w:val="32"/>
          <w:szCs w:val="32"/>
        </w:rPr>
        <w:t>英语语言项目</w:t>
      </w:r>
    </w:p>
    <w:p>
      <w:pPr>
        <w:widowControl/>
        <w:spacing w:line="360" w:lineRule="auto"/>
        <w:jc w:val="center"/>
        <w:rPr>
          <w:rFonts w:asciiTheme="minorHAnsi" w:hAnsiTheme="minorHAnsi" w:eastAsiaTheme="majorEastAsia" w:cstheme="minorHAnsi"/>
          <w:kern w:val="0"/>
          <w:sz w:val="28"/>
          <w:szCs w:val="28"/>
        </w:rPr>
      </w:pPr>
      <w:r>
        <w:rPr>
          <w:rFonts w:asciiTheme="minorHAnsi" w:hAnsiTheme="minorHAnsi" w:eastAsiaTheme="majorEastAsia" w:cstheme="minorHAnsi"/>
          <w:kern w:val="0"/>
          <w:sz w:val="28"/>
          <w:szCs w:val="28"/>
        </w:rPr>
        <w:t>University of Toronto</w:t>
      </w:r>
    </w:p>
    <w:p>
      <w:pPr>
        <w:widowControl/>
        <w:spacing w:line="360" w:lineRule="auto"/>
        <w:jc w:val="center"/>
        <w:rPr>
          <w:rFonts w:asciiTheme="minorHAnsi" w:hAnsiTheme="minorHAnsi" w:eastAsiaTheme="majorEastAsia" w:cstheme="minorHAnsi"/>
          <w:kern w:val="0"/>
          <w:sz w:val="28"/>
          <w:szCs w:val="28"/>
        </w:rPr>
      </w:pPr>
      <w:r>
        <w:rPr>
          <w:rFonts w:asciiTheme="minorHAnsi" w:hAnsiTheme="minorHAnsi" w:eastAsiaTheme="majorEastAsia" w:cstheme="minorHAnsi"/>
          <w:kern w:val="0"/>
          <w:sz w:val="28"/>
          <w:szCs w:val="28"/>
        </w:rPr>
        <w:t>English Language Program</w:t>
      </w:r>
    </w:p>
    <w:p>
      <w:pPr>
        <w:widowControl/>
        <w:spacing w:line="360" w:lineRule="auto"/>
        <w:jc w:val="center"/>
        <w:rPr>
          <w:rFonts w:cs="Calibri" w:asciiTheme="minorHAnsi" w:hAnsiTheme="minorHAnsi"/>
          <w:b w:val="0"/>
          <w:bCs/>
          <w:kern w:val="0"/>
          <w:szCs w:val="21"/>
        </w:rPr>
      </w:pPr>
      <w:r>
        <w:rPr>
          <w:rFonts w:hint="eastAsia" w:cs="Calibri" w:asciiTheme="minorHAnsi" w:hAnsiTheme="minorHAnsi"/>
          <w:b w:val="0"/>
          <w:bCs/>
          <w:kern w:val="0"/>
          <w:szCs w:val="21"/>
        </w:rPr>
        <w:t>2020年3月9月</w:t>
      </w:r>
      <w:r>
        <w:rPr>
          <w:rFonts w:cs="Calibri" w:asciiTheme="minorHAnsi" w:hAnsiTheme="minorHAnsi"/>
          <w:b w:val="0"/>
          <w:bCs/>
          <w:kern w:val="0"/>
          <w:szCs w:val="21"/>
        </w:rPr>
        <w:t>–</w:t>
      </w:r>
      <w:r>
        <w:rPr>
          <w:rFonts w:hint="eastAsia" w:cs="Calibri" w:asciiTheme="minorHAnsi" w:hAnsiTheme="minorHAnsi"/>
          <w:b w:val="0"/>
          <w:bCs/>
          <w:kern w:val="0"/>
          <w:szCs w:val="21"/>
        </w:rPr>
        <w:t xml:space="preserve"> 6月26日</w:t>
      </w:r>
    </w:p>
    <w:p>
      <w:pPr>
        <w:widowControl/>
        <w:spacing w:line="360" w:lineRule="auto"/>
        <w:rPr>
          <w:rFonts w:asciiTheme="minorHAnsi" w:hAnsiTheme="minorHAnsi" w:eastAsiaTheme="majorEastAsia" w:cstheme="minorHAnsi"/>
          <w:kern w:val="0"/>
          <w:szCs w:val="21"/>
        </w:rPr>
      </w:pPr>
    </w:p>
    <w:p>
      <w:pPr>
        <w:widowControl/>
        <w:spacing w:line="360" w:lineRule="auto"/>
        <w:jc w:val="left"/>
        <w:rPr>
          <w:rFonts w:hint="eastAsia" w:ascii="宋体" w:hAnsi="宋体" w:eastAsia="宋体" w:cs="宋体"/>
          <w:b/>
          <w:kern w:val="0"/>
          <w:sz w:val="21"/>
          <w:szCs w:val="21"/>
        </w:rPr>
      </w:pPr>
      <w:r>
        <w:rPr>
          <w:rFonts w:hint="eastAsia" w:ascii="宋体" w:hAnsi="宋体" w:eastAsia="宋体" w:cs="宋体"/>
          <w:b/>
          <w:kern w:val="0"/>
          <w:szCs w:val="21"/>
        </w:rPr>
        <w:t>一、</w:t>
      </w:r>
      <w:r>
        <w:rPr>
          <w:rFonts w:hint="eastAsia" w:ascii="宋体" w:hAnsi="宋体" w:eastAsia="宋体" w:cs="宋体"/>
          <w:b/>
          <w:kern w:val="0"/>
          <w:sz w:val="21"/>
          <w:szCs w:val="21"/>
        </w:rPr>
        <w:t>项目综述</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b w:val="0"/>
          <w:bCs/>
          <w:kern w:val="0"/>
          <w:sz w:val="21"/>
          <w:szCs w:val="21"/>
        </w:rPr>
        <w:t>多伦多大学英语语言项目（English Language Program）隶属于多伦多大学的继续教育学院(School of Continuing Studies)。学院迄</w:t>
      </w:r>
      <w:r>
        <w:rPr>
          <w:rFonts w:hint="eastAsia" w:ascii="宋体" w:hAnsi="宋体" w:eastAsia="宋体" w:cs="宋体"/>
          <w:kern w:val="0"/>
          <w:sz w:val="21"/>
          <w:szCs w:val="21"/>
        </w:rPr>
        <w:t>今拥有近50年的丰富教学经验，每年为来自35个国家的上千名学生提供各类优质的英语学习项目，形成了实用科学的教学方法。此外，多伦多作为全球最多元化和宜居的城市之一，也为学生提供了无与伦比的语言学习环境。</w:t>
      </w:r>
    </w:p>
    <w:p>
      <w:pPr>
        <w:widowControl/>
        <w:spacing w:line="360" w:lineRule="auto"/>
        <w:ind w:firstLine="420" w:firstLineChars="200"/>
        <w:jc w:val="left"/>
        <w:rPr>
          <w:rFonts w:hint="eastAsia" w:ascii="宋体" w:hAnsi="宋体" w:eastAsia="宋体" w:cs="宋体"/>
          <w:color w:val="333333"/>
          <w:kern w:val="0"/>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全美国际教育协会作为多伦多大学英语语言学院在中国的正式授权机构，负责选拔优秀中国大学生，于2020年春季前往多伦多大学参加为期一学期的访问学习。项目学生将与其它参加语言课程的国际学生混班上课，迅速提升自身的英语水平，同时体验加拿大的社会与文化。</w:t>
      </w:r>
    </w:p>
    <w:p>
      <w:pPr>
        <w:widowControl/>
        <w:spacing w:line="360" w:lineRule="auto"/>
        <w:ind w:firstLine="420" w:firstLineChars="200"/>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eastAsia" w:ascii="宋体" w:hAnsi="宋体" w:cs="宋体"/>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春季加拿大多伦多大学访学项目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sz w:val="21"/>
          <w:szCs w:val="21"/>
        </w:rPr>
        <w:t>特色与优势</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【体验北美纯正英语课程】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参加加拿大名校的优质语言课程以及学术英语课程，每周20小时强化学习，有效提升语言技巧；</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【多伦多大学成绩单和学习证书】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获得多伦多大学出具的正式成绩单及学习证明，为个人履历添砖加瓦；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【和国际学生一起上课，结交各国好友】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 xml:space="preserve">【尽享校园设施与资源】 </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获得多伦多大学学生证，按校方规定充分享受各类校园设施与教育资源；</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6192" behindDoc="0" locked="0" layoutInCell="1" allowOverlap="1">
            <wp:simplePos x="0" y="0"/>
            <wp:positionH relativeFrom="column">
              <wp:posOffset>209550</wp:posOffset>
            </wp:positionH>
            <wp:positionV relativeFrom="paragraph">
              <wp:posOffset>826770</wp:posOffset>
            </wp:positionV>
            <wp:extent cx="5274310" cy="2040255"/>
            <wp:effectExtent l="0" t="0" r="254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040255"/>
                    </a:xfrm>
                    <a:prstGeom prst="rect">
                      <a:avLst/>
                    </a:prstGeom>
                  </pic:spPr>
                </pic:pic>
              </a:graphicData>
            </a:graphic>
          </wp:anchor>
        </w:drawing>
      </w:r>
      <w:r>
        <w:rPr>
          <w:rFonts w:hint="eastAsia" w:ascii="宋体" w:hAnsi="宋体" w:eastAsia="宋体" w:cs="宋体"/>
          <w:sz w:val="21"/>
          <w:szCs w:val="21"/>
        </w:rPr>
        <w:t>【丰富的文化活动体验】</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丰富多彩的加拿大文化体验，游览尼亚加拉瀑布、参观博物馆、参加各类体育活动等。</w:t>
      </w:r>
    </w:p>
    <w:p>
      <w:pPr>
        <w:widowControl/>
        <w:spacing w:line="360" w:lineRule="auto"/>
        <w:jc w:val="left"/>
        <w:rPr>
          <w:rFonts w:hint="eastAsia" w:ascii="宋体" w:hAnsi="宋体" w:eastAsia="宋体" w:cs="宋体"/>
          <w:b/>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三、多伦多大学简介</w:t>
      </w:r>
    </w:p>
    <w:p>
      <w:pPr>
        <w:widowControl/>
        <w:numPr>
          <w:ilvl w:val="0"/>
          <w:numId w:val="1"/>
        </w:numPr>
        <w:spacing w:line="360" w:lineRule="auto"/>
        <w:jc w:val="left"/>
        <w:rPr>
          <w:rFonts w:hint="eastAsia" w:ascii="宋体" w:hAnsi="宋体" w:eastAsia="宋体" w:cs="宋体"/>
          <w:sz w:val="21"/>
          <w:szCs w:val="21"/>
        </w:rPr>
      </w:pPr>
      <w:r>
        <w:rPr>
          <w:rFonts w:hint="eastAsia" w:ascii="宋体" w:hAnsi="宋体" w:eastAsia="宋体" w:cs="宋体"/>
          <w:color w:val="333333"/>
          <w:kern w:val="0"/>
          <w:sz w:val="21"/>
          <w:szCs w:val="21"/>
        </w:rPr>
        <w:t>始建于1827年，加拿大顶尖学府，也是世界范围享有盛誉的</w:t>
      </w:r>
      <w:r>
        <w:rPr>
          <w:rFonts w:hint="eastAsia" w:ascii="宋体" w:hAnsi="宋体" w:eastAsia="宋体" w:cs="宋体"/>
          <w:bCs/>
          <w:color w:val="333333"/>
          <w:kern w:val="0"/>
          <w:sz w:val="21"/>
          <w:szCs w:val="21"/>
        </w:rPr>
        <w:t>公立研究性大学</w:t>
      </w:r>
      <w:r>
        <w:rPr>
          <w:rFonts w:hint="eastAsia" w:ascii="宋体" w:hAnsi="宋体" w:eastAsia="宋体" w:cs="宋体"/>
          <w:color w:val="333333"/>
          <w:kern w:val="0"/>
          <w:sz w:val="21"/>
          <w:szCs w:val="21"/>
        </w:rPr>
        <w:t>；</w:t>
      </w:r>
    </w:p>
    <w:p>
      <w:pPr>
        <w:widowControl/>
        <w:numPr>
          <w:ilvl w:val="0"/>
          <w:numId w:val="1"/>
        </w:numPr>
        <w:spacing w:line="360" w:lineRule="auto"/>
        <w:jc w:val="left"/>
        <w:rPr>
          <w:rFonts w:hint="eastAsia" w:ascii="宋体" w:hAnsi="宋体" w:eastAsia="宋体" w:cs="宋体"/>
          <w:sz w:val="21"/>
          <w:szCs w:val="21"/>
        </w:rPr>
      </w:pPr>
      <w:r>
        <w:rPr>
          <w:rFonts w:hint="eastAsia" w:ascii="宋体" w:hAnsi="宋体" w:eastAsia="宋体" w:cs="宋体"/>
          <w:sz w:val="21"/>
          <w:szCs w:val="21"/>
        </w:rPr>
        <w:t>2019年《美国新闻与世界报道》全球大学综合排名第20；2019年Times高等教育世界大学综合排名第21位。同时，该校也是</w:t>
      </w:r>
      <w:r>
        <w:rPr>
          <w:rFonts w:hint="eastAsia" w:ascii="宋体" w:hAnsi="宋体" w:eastAsia="宋体" w:cs="宋体"/>
          <w:color w:val="333333"/>
          <w:kern w:val="0"/>
          <w:sz w:val="21"/>
          <w:szCs w:val="21"/>
        </w:rPr>
        <w:t>美国大学协会（北美大学联盟）中仅有的两所非美国学府之一。</w:t>
      </w:r>
    </w:p>
    <w:p>
      <w:pPr>
        <w:pStyle w:val="19"/>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color w:val="333333"/>
          <w:kern w:val="0"/>
          <w:sz w:val="21"/>
          <w:szCs w:val="21"/>
        </w:rPr>
        <w:t>位于多伦多，是加拿大第一大城市与北美第四大城市，也是世界著名的最多元化、最安全宜居的国际化大都市，拥有怡人的环境和高品质的生活。</w:t>
      </w:r>
    </w:p>
    <w:p>
      <w:pPr>
        <w:pStyle w:val="19"/>
        <w:widowControl/>
        <w:spacing w:line="360" w:lineRule="auto"/>
        <w:ind w:left="840" w:firstLine="0" w:firstLineChars="0"/>
        <w:jc w:val="left"/>
        <w:rPr>
          <w:rFonts w:hint="eastAsia" w:ascii="宋体" w:hAnsi="宋体" w:eastAsia="宋体" w:cs="宋体"/>
          <w:b/>
          <w:sz w:val="21"/>
          <w:szCs w:val="21"/>
        </w:rPr>
      </w:pPr>
    </w:p>
    <w:p>
      <w:pPr>
        <w:pStyle w:val="19"/>
        <w:widowControl/>
        <w:spacing w:line="360" w:lineRule="auto"/>
        <w:ind w:left="840" w:firstLine="0" w:firstLineChars="0"/>
        <w:jc w:val="left"/>
        <w:rPr>
          <w:rFonts w:hint="eastAsia" w:ascii="宋体" w:hAnsi="宋体" w:eastAsia="宋体" w:cs="宋体"/>
          <w:b/>
          <w:sz w:val="21"/>
          <w:szCs w:val="21"/>
        </w:rPr>
      </w:pPr>
    </w:p>
    <w:p>
      <w:pPr>
        <w:pStyle w:val="19"/>
        <w:widowControl/>
        <w:spacing w:line="360" w:lineRule="auto"/>
        <w:ind w:left="840" w:firstLine="0" w:firstLineChars="0"/>
        <w:jc w:val="left"/>
        <w:rPr>
          <w:rFonts w:hint="eastAsia" w:ascii="宋体" w:hAnsi="宋体" w:eastAsia="宋体" w:cs="宋体"/>
          <w:b/>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四、项目详情</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2020年3月9日 – 6月26日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项目共分为两个阶段：</w:t>
      </w:r>
    </w:p>
    <w:p>
      <w:pPr>
        <w:widowControl/>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u w:val="single"/>
        </w:rPr>
        <w:t>第一阶段：2020年3月9日 – 4月3日</w:t>
      </w:r>
      <w:r>
        <w:rPr>
          <w:rFonts w:hint="eastAsia" w:ascii="宋体" w:hAnsi="宋体" w:eastAsia="宋体" w:cs="宋体"/>
          <w:sz w:val="21"/>
          <w:szCs w:val="21"/>
        </w:rPr>
        <w:t>，学生将首先参加为期四周的预备课程 “高效沟通英语”课程或“商务沟通英语”</w:t>
      </w:r>
      <w:r>
        <w:rPr>
          <w:rFonts w:hint="eastAsia" w:ascii="宋体" w:hAnsi="宋体" w:cs="宋体"/>
          <w:sz w:val="21"/>
          <w:szCs w:val="21"/>
          <w:lang w:eastAsia="zh-CN"/>
        </w:rPr>
        <w:t>：</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高效沟通英语”课程旨在提升学生的日常英语沟通能力，适合从初级到高级各级别的学生，每周约20学时，主要内容包括改进口语表达、扩展词汇储备、提高听力理解、了解加拿大与北美文化、与来自各地的学生进行交流互动等。通过参加项目，学生将建立有效使用英语沟通的自信，尤其是提高听说技巧。</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“商务沟通英语”课程旨在提升商务情景中有效使用英语所需的技能，适合中级至高级的学生。通过完成学习任务和模拟的国际商务环境，学生能够提高商务英语听说读写技巧，从而收获职业英语运用的自信。</w:t>
      </w:r>
    </w:p>
    <w:p>
      <w:pPr>
        <w:spacing w:line="360" w:lineRule="auto"/>
        <w:ind w:left="420" w:leftChars="200"/>
        <w:rPr>
          <w:rFonts w:hint="eastAsia" w:ascii="宋体" w:hAnsi="宋体" w:eastAsia="宋体" w:cs="宋体"/>
          <w:sz w:val="21"/>
          <w:szCs w:val="21"/>
        </w:rPr>
      </w:pPr>
      <w:r>
        <w:rPr>
          <w:rFonts w:hint="eastAsia" w:ascii="宋体" w:hAnsi="宋体" w:eastAsia="宋体" w:cs="宋体"/>
          <w:sz w:val="21"/>
          <w:szCs w:val="21"/>
        </w:rPr>
        <w:t>课程均为小班授课，参加项目的学生将在入学时语言测试，根</w:t>
      </w:r>
      <w:r>
        <w:rPr>
          <w:rFonts w:hint="eastAsia" w:ascii="宋体" w:hAnsi="宋体" w:eastAsia="宋体" w:cs="宋体"/>
          <w:sz w:val="21"/>
          <w:szCs w:val="21"/>
        </w:rPr>
        <w:drawing>
          <wp:anchor distT="0" distB="0" distL="114300" distR="114300" simplePos="0" relativeHeight="251667456" behindDoc="0" locked="0" layoutInCell="1" allowOverlap="1">
            <wp:simplePos x="0" y="0"/>
            <wp:positionH relativeFrom="column">
              <wp:posOffset>0</wp:posOffset>
            </wp:positionH>
            <wp:positionV relativeFrom="paragraph">
              <wp:posOffset>455295</wp:posOffset>
            </wp:positionV>
            <wp:extent cx="5274310" cy="2045970"/>
            <wp:effectExtent l="0" t="0" r="254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045970"/>
                    </a:xfrm>
                    <a:prstGeom prst="rect">
                      <a:avLst/>
                    </a:prstGeom>
                  </pic:spPr>
                </pic:pic>
              </a:graphicData>
            </a:graphic>
          </wp:anchor>
        </w:drawing>
      </w:r>
      <w:r>
        <w:rPr>
          <w:rFonts w:hint="eastAsia" w:ascii="宋体" w:hAnsi="宋体" w:eastAsia="宋体" w:cs="宋体"/>
          <w:sz w:val="21"/>
          <w:szCs w:val="21"/>
        </w:rPr>
        <w:t>据测试结果进行分级。</w:t>
      </w:r>
    </w:p>
    <w:p>
      <w:pPr>
        <w:spacing w:line="360" w:lineRule="auto"/>
        <w:ind w:firstLine="420" w:firstLineChars="200"/>
        <w:rPr>
          <w:rFonts w:hint="eastAsia" w:ascii="宋体" w:hAnsi="宋体" w:eastAsia="宋体" w:cs="宋体"/>
          <w:sz w:val="21"/>
          <w:szCs w:val="21"/>
          <w:u w:val="single"/>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u w:val="single"/>
        </w:rPr>
        <w:t>第二阶段：2020年4月6日 – 6月26日</w:t>
      </w:r>
      <w:r>
        <w:rPr>
          <w:rFonts w:hint="eastAsia" w:ascii="宋体" w:hAnsi="宋体" w:eastAsia="宋体" w:cs="宋体"/>
          <w:sz w:val="21"/>
          <w:szCs w:val="21"/>
        </w:rPr>
        <w:t>，学生将继续修读为期12周的主课学术英语课程（Academic English）</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课程旨在提升本科生或研究生的英语听说读写综合能力，从而为参与严格的学术研究做好准备。该课程级别分为次中级至高级，每一级课程均为12周，每周20学时，主要内容包括提升学术沟通与演讲技巧、掌握学术阅读与听力理解技巧、扩展学术词汇运用能力、学习如何围绕复杂的主题进行写作、了解北美的学术文化等。项目每周还会安排一天的真实项目环节，学生需要运用所学的综合技能，在基于项目的学习环境中展开合作。</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7216" behindDoc="0" locked="0" layoutInCell="1" allowOverlap="1">
            <wp:simplePos x="0" y="0"/>
            <wp:positionH relativeFrom="column">
              <wp:posOffset>3610610</wp:posOffset>
            </wp:positionH>
            <wp:positionV relativeFrom="paragraph">
              <wp:posOffset>925830</wp:posOffset>
            </wp:positionV>
            <wp:extent cx="2124075" cy="1383030"/>
            <wp:effectExtent l="0" t="0" r="9525" b="762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24075" cy="1383030"/>
                    </a:xfrm>
                    <a:prstGeom prst="rect">
                      <a:avLst/>
                    </a:prstGeom>
                  </pic:spPr>
                </pic:pic>
              </a:graphicData>
            </a:graphic>
          </wp:anchor>
        </w:drawing>
      </w:r>
      <w:r>
        <w:rPr>
          <w:rFonts w:hint="eastAsia" w:ascii="宋体" w:hAnsi="宋体" w:eastAsia="宋体" w:cs="宋体"/>
          <w:sz w:val="21"/>
          <w:szCs w:val="21"/>
        </w:rPr>
        <w:t>课余时间，参加语言课程的学生还可在文化助理（通常是在校生）的带领下，参加丰富多彩的文化活动，如游览尼亚加拉瀑布、参观博物馆、参加各类体育活动，尽情体验当地文化。</w:t>
      </w:r>
      <w:r>
        <w:rPr>
          <w:rFonts w:hint="eastAsia" w:ascii="宋体" w:hAnsi="宋体" w:eastAsia="宋体" w:cs="宋体"/>
          <w:sz w:val="21"/>
          <w:szCs w:val="21"/>
        </w:rPr>
        <w:br w:type="textWrapping"/>
      </w:r>
      <w:r>
        <w:rPr>
          <w:rFonts w:hint="eastAsia" w:ascii="宋体" w:hAnsi="宋体" w:eastAsia="宋体" w:cs="宋体"/>
          <w:sz w:val="21"/>
          <w:szCs w:val="21"/>
        </w:rPr>
        <w:t xml:space="preserve">    项目学生均可获得多伦多大学正式注册的学生证，凭借学生证可在项目期内，按校方规定使用学校的校园设施与教育资源，包括图书馆、健身房、活动中心等。学生将入住当地的寄宿家庭，能够更加迅速提高自己的语言水平。</w:t>
      </w: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顺利完成所有课程，并通过学术考核的学生，将获得多伦多大学出具的正式成绩单及学习证明。</w:t>
      </w:r>
    </w:p>
    <w:p>
      <w:pPr>
        <w:widowControl/>
        <w:spacing w:line="360" w:lineRule="auto"/>
        <w:ind w:left="840"/>
        <w:jc w:val="left"/>
        <w:rPr>
          <w:rFonts w:hint="eastAsia" w:ascii="宋体" w:hAnsi="宋体" w:eastAsia="宋体" w:cs="宋体"/>
          <w:bCs/>
          <w:kern w:val="0"/>
          <w:sz w:val="21"/>
          <w:szCs w:val="21"/>
        </w:rPr>
      </w:pPr>
      <w:r>
        <w:rPr>
          <w:rFonts w:hint="eastAsia" w:ascii="宋体" w:hAnsi="宋体" w:eastAsia="宋体" w:cs="宋体"/>
          <w:sz w:val="21"/>
          <w:szCs w:val="21"/>
        </w:rPr>
        <w:drawing>
          <wp:anchor distT="0" distB="0" distL="114300" distR="114300" simplePos="0" relativeHeight="251668480" behindDoc="0" locked="0" layoutInCell="1" allowOverlap="1">
            <wp:simplePos x="0" y="0"/>
            <wp:positionH relativeFrom="column">
              <wp:posOffset>47625</wp:posOffset>
            </wp:positionH>
            <wp:positionV relativeFrom="paragraph">
              <wp:posOffset>83820</wp:posOffset>
            </wp:positionV>
            <wp:extent cx="1962150" cy="252349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962150" cy="2523490"/>
                    </a:xfrm>
                    <a:prstGeom prst="rect">
                      <a:avLst/>
                    </a:prstGeom>
                  </pic:spPr>
                </pic:pic>
              </a:graphicData>
            </a:graphic>
          </wp:anchor>
        </w:drawing>
      </w:r>
    </w:p>
    <w:p>
      <w:pPr>
        <w:widowControl/>
        <w:spacing w:line="360" w:lineRule="auto"/>
        <w:ind w:left="840"/>
        <w:jc w:val="left"/>
        <w:rPr>
          <w:rFonts w:hint="eastAsia" w:ascii="宋体" w:hAnsi="宋体" w:eastAsia="宋体" w:cs="宋体"/>
          <w:bCs/>
          <w:kern w:val="0"/>
          <w:sz w:val="21"/>
          <w:szCs w:val="21"/>
        </w:rPr>
      </w:pPr>
    </w:p>
    <w:p>
      <w:pPr>
        <w:widowControl/>
        <w:spacing w:line="360" w:lineRule="auto"/>
        <w:ind w:left="840"/>
        <w:jc w:val="left"/>
        <w:rPr>
          <w:rFonts w:hint="eastAsia" w:ascii="宋体" w:hAnsi="宋体" w:eastAsia="宋体" w:cs="宋体"/>
          <w:bCs/>
          <w:kern w:val="0"/>
          <w:sz w:val="21"/>
          <w:szCs w:val="21"/>
        </w:rPr>
      </w:pPr>
    </w:p>
    <w:p>
      <w:pPr>
        <w:widowControl/>
        <w:spacing w:line="360" w:lineRule="auto"/>
        <w:ind w:left="840"/>
        <w:jc w:val="left"/>
        <w:rPr>
          <w:rFonts w:hint="eastAsia" w:ascii="宋体" w:hAnsi="宋体" w:eastAsia="宋体" w:cs="宋体"/>
          <w:bCs/>
          <w:kern w:val="0"/>
          <w:sz w:val="21"/>
          <w:szCs w:val="21"/>
        </w:rPr>
      </w:pPr>
    </w:p>
    <w:p>
      <w:pPr>
        <w:widowControl/>
        <w:spacing w:line="360" w:lineRule="auto"/>
        <w:ind w:left="840"/>
        <w:jc w:val="left"/>
        <w:rPr>
          <w:rFonts w:hint="eastAsia" w:ascii="宋体" w:hAnsi="宋体" w:eastAsia="宋体" w:cs="宋体"/>
          <w:bCs/>
          <w:kern w:val="0"/>
          <w:sz w:val="21"/>
          <w:szCs w:val="21"/>
        </w:rPr>
      </w:pPr>
    </w:p>
    <w:p>
      <w:pPr>
        <w:widowControl/>
        <w:spacing w:line="360" w:lineRule="auto"/>
        <w:ind w:left="840"/>
        <w:jc w:val="left"/>
        <w:rPr>
          <w:rFonts w:hint="eastAsia" w:ascii="宋体" w:hAnsi="宋体" w:eastAsia="宋体" w:cs="宋体"/>
          <w:bCs/>
          <w:kern w:val="0"/>
          <w:sz w:val="21"/>
          <w:szCs w:val="21"/>
        </w:rPr>
      </w:pPr>
    </w:p>
    <w:p>
      <w:pPr>
        <w:widowControl/>
        <w:spacing w:line="360" w:lineRule="auto"/>
        <w:ind w:left="840"/>
        <w:jc w:val="left"/>
        <w:rPr>
          <w:rFonts w:hint="eastAsia" w:ascii="宋体" w:hAnsi="宋体" w:eastAsia="宋体" w:cs="宋体"/>
          <w:bCs/>
          <w:kern w:val="0"/>
          <w:sz w:val="21"/>
          <w:szCs w:val="21"/>
        </w:rPr>
      </w:pPr>
    </w:p>
    <w:p>
      <w:pPr>
        <w:widowControl/>
        <w:spacing w:line="360" w:lineRule="auto"/>
        <w:ind w:left="840"/>
        <w:jc w:val="left"/>
        <w:rPr>
          <w:rFonts w:hint="eastAsia" w:ascii="宋体" w:hAnsi="宋体" w:eastAsia="宋体" w:cs="宋体"/>
          <w:bCs/>
          <w:kern w:val="0"/>
          <w:sz w:val="21"/>
          <w:szCs w:val="21"/>
        </w:rPr>
      </w:pPr>
    </w:p>
    <w:p>
      <w:pPr>
        <w:widowControl/>
        <w:spacing w:line="360" w:lineRule="auto"/>
        <w:ind w:firstLine="210" w:firstLineChars="100"/>
        <w:jc w:val="left"/>
        <w:rPr>
          <w:rFonts w:hint="eastAsia" w:ascii="宋体" w:hAnsi="宋体" w:eastAsia="宋体" w:cs="宋体"/>
          <w:bCs/>
          <w:kern w:val="0"/>
          <w:sz w:val="21"/>
          <w:szCs w:val="21"/>
        </w:rPr>
      </w:pPr>
      <w:r>
        <w:rPr>
          <w:rFonts w:hint="eastAsia" w:ascii="宋体" w:hAnsi="宋体" w:eastAsia="宋体" w:cs="宋体"/>
          <w:bCs/>
          <w:kern w:val="0"/>
          <w:sz w:val="21"/>
          <w:szCs w:val="21"/>
        </w:rPr>
        <w:t xml:space="preserve"> 图：多大语言课程项目证书样图</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约10,270加元（约合人民币5.24万元）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学费、在读期间医疗保险、及项目设计与管理费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国际机票、签证费、住宿费、个人生活费</w:t>
            </w:r>
          </w:p>
          <w:p>
            <w:pPr>
              <w:spacing w:line="360" w:lineRule="auto"/>
              <w:rPr>
                <w:rFonts w:hint="eastAsia"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color w:val="000000"/>
                <w:sz w:val="21"/>
                <w:szCs w:val="21"/>
              </w:rPr>
              <w:t>多伦多地区的寄宿费用大约为每月1,200加元左右</w:t>
            </w:r>
          </w:p>
        </w:tc>
      </w:tr>
    </w:tbl>
    <w:p>
      <w:pPr>
        <w:widowControl/>
        <w:spacing w:line="360" w:lineRule="auto"/>
        <w:jc w:val="left"/>
        <w:rPr>
          <w:rFonts w:hint="eastAsia" w:ascii="宋体" w:hAnsi="宋体" w:eastAsia="宋体" w:cs="宋体"/>
          <w:b/>
          <w:sz w:val="21"/>
          <w:szCs w:val="21"/>
        </w:rPr>
      </w:pPr>
    </w:p>
    <w:p>
      <w:pPr>
        <w:widowControl/>
        <w:spacing w:line="360" w:lineRule="auto"/>
        <w:jc w:val="left"/>
        <w:rPr>
          <w:rFonts w:hint="eastAsia" w:ascii="宋体" w:hAnsi="宋体" w:eastAsia="宋体" w:cs="宋体"/>
          <w:b/>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bCs/>
          <w:kern w:val="0"/>
          <w:sz w:val="21"/>
          <w:szCs w:val="21"/>
        </w:rPr>
        <w:t>五、项目申请</w:t>
      </w:r>
    </w:p>
    <w:p>
      <w:pPr>
        <w:pStyle w:val="19"/>
        <w:widowControl/>
        <w:numPr>
          <w:numId w:val="0"/>
        </w:numPr>
        <w:spacing w:line="360" w:lineRule="auto"/>
        <w:ind w:leftChars="0"/>
        <w:jc w:val="left"/>
        <w:rPr>
          <w:rFonts w:hint="eastAsia" w:ascii="宋体" w:hAnsi="宋体" w:eastAsia="宋体" w:cs="宋体"/>
          <w:sz w:val="21"/>
          <w:szCs w:val="21"/>
        </w:rPr>
      </w:pPr>
      <w:r>
        <w:rPr>
          <w:rFonts w:hint="eastAsia" w:ascii="宋体" w:hAnsi="宋体" w:cs="宋体"/>
          <w:b/>
          <w:kern w:val="0"/>
          <w:sz w:val="21"/>
          <w:szCs w:val="21"/>
          <w:lang w:val="en-US" w:eastAsia="zh-CN"/>
        </w:rPr>
        <w:t>1、</w:t>
      </w:r>
      <w:r>
        <w:rPr>
          <w:rFonts w:hint="eastAsia" w:ascii="宋体" w:hAnsi="宋体" w:eastAsia="宋体" w:cs="宋体"/>
          <w:b/>
          <w:kern w:val="0"/>
          <w:sz w:val="21"/>
          <w:szCs w:val="21"/>
        </w:rPr>
        <w:t>选拔要求</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仅限本校全日制在校生；且成绩优异、道德品质好，在校期间未受过纪律处分，身心健康，能顺利完成海外学习任务；</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英语要求：具有良好的英语基础，入学参加语言测试</w:t>
      </w:r>
      <w:r>
        <w:rPr>
          <w:rFonts w:hint="eastAsia" w:ascii="宋体" w:hAnsi="宋体" w:cs="宋体"/>
          <w:sz w:val="21"/>
          <w:szCs w:val="21"/>
          <w:lang w:eastAsia="zh-CN"/>
        </w:rPr>
        <w:t>；</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通过全美国际教育协会的项目面试、加方大学的学术审核、以及我校院系及国际交流处的派出资格审核。</w:t>
      </w:r>
    </w:p>
    <w:p>
      <w:pPr>
        <w:pStyle w:val="19"/>
        <w:numPr>
          <w:numId w:val="0"/>
        </w:numPr>
        <w:spacing w:line="360" w:lineRule="auto"/>
        <w:ind w:leftChars="0"/>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numPr>
          <w:ilvl w:val="0"/>
          <w:numId w:val="3"/>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学生本人提出申请，在学校国际合作交流处（外事处）报名；</w:t>
      </w:r>
    </w:p>
    <w:p>
      <w:pPr>
        <w:numPr>
          <w:ilvl w:val="0"/>
          <w:numId w:val="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全美国际教育协会网站www.usiea.org填写《世界名校访学2019-2020学年冬春项目报名表》，网上报名的时间决定录取的顺序和安排宿舍的顺序；</w:t>
      </w:r>
    </w:p>
    <w:p>
      <w:pPr>
        <w:pStyle w:val="19"/>
        <w:numPr>
          <w:ilvl w:val="0"/>
          <w:numId w:val="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学生提交正式申请材料并缴纳项目费用，获得学校录取及签证后赴加学习；</w:t>
      </w:r>
    </w:p>
    <w:p>
      <w:pPr>
        <w:widowControl/>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spacing w:line="360" w:lineRule="auto"/>
        <w:ind w:left="360"/>
        <w:rPr>
          <w:rFonts w:hint="eastAsia" w:ascii="宋体" w:hAnsi="宋体" w:eastAsia="宋体" w:cs="宋体"/>
          <w:sz w:val="21"/>
          <w:szCs w:val="21"/>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bookmarkStart w:id="0" w:name="_GoBack"/>
      <w:bookmarkEnd w:id="0"/>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hint="eastAsia" w:ascii="宋体" w:hAnsi="宋体" w:eastAsia="宋体" w:cs="宋体"/>
          <w:sz w:val="21"/>
          <w:szCs w:val="21"/>
        </w:rPr>
      </w:pPr>
      <w:r>
        <w:rPr>
          <w:rFonts w:hint="eastAsia" w:ascii="宋体" w:hAnsi="宋体" w:eastAsia="宋体" w:cs="宋体"/>
          <w:kern w:val="0"/>
          <w:sz w:val="21"/>
          <w:szCs w:val="21"/>
        </w:rPr>
        <w:t>项目邮箱咨询：</w:t>
      </w:r>
      <w:r>
        <w:rPr>
          <w:rFonts w:hint="eastAsia" w:ascii="宋体" w:hAnsi="宋体" w:eastAsia="宋体" w:cs="宋体"/>
          <w:color w:val="0068B7"/>
          <w:kern w:val="0"/>
          <w:sz w:val="21"/>
          <w:szCs w:val="21"/>
        </w:rPr>
        <w:fldChar w:fldCharType="begin"/>
      </w:r>
      <w:r>
        <w:rPr>
          <w:rFonts w:hint="eastAsia" w:ascii="宋体" w:hAnsi="宋体" w:eastAsia="宋体" w:cs="宋体"/>
          <w:color w:val="0068B7"/>
          <w:kern w:val="0"/>
          <w:sz w:val="21"/>
          <w:szCs w:val="21"/>
        </w:rPr>
        <w:instrText xml:space="preserve"> HYPERLINK "mailto:visituoft@yeah.net" </w:instrText>
      </w:r>
      <w:r>
        <w:rPr>
          <w:rFonts w:hint="eastAsia" w:ascii="宋体" w:hAnsi="宋体" w:eastAsia="宋体" w:cs="宋体"/>
          <w:color w:val="0068B7"/>
          <w:kern w:val="0"/>
          <w:sz w:val="21"/>
          <w:szCs w:val="21"/>
        </w:rPr>
        <w:fldChar w:fldCharType="separate"/>
      </w:r>
      <w:r>
        <w:rPr>
          <w:rFonts w:hint="eastAsia" w:ascii="宋体" w:hAnsi="宋体" w:eastAsia="宋体" w:cs="宋体"/>
          <w:color w:val="0068B7"/>
          <w:kern w:val="0"/>
          <w:sz w:val="21"/>
          <w:szCs w:val="21"/>
        </w:rPr>
        <w:t>visituoft@yeah.net</w:t>
      </w:r>
      <w:r>
        <w:rPr>
          <w:rFonts w:hint="eastAsia" w:ascii="宋体" w:hAnsi="宋体" w:eastAsia="宋体" w:cs="宋体"/>
          <w:color w:val="0068B7"/>
          <w:kern w:val="0"/>
          <w:sz w:val="21"/>
          <w:szCs w:val="21"/>
        </w:rPr>
        <w:fldChar w:fldCharType="end"/>
      </w:r>
      <w:r>
        <w:rPr>
          <w:rFonts w:hint="eastAsia" w:ascii="宋体" w:hAnsi="宋体" w:eastAsia="宋体" w:cs="宋体"/>
          <w:color w:val="0068B7"/>
          <w:kern w:val="0"/>
          <w:sz w:val="21"/>
          <w:szCs w:val="21"/>
        </w:rPr>
        <w:t xml:space="preserve">   </w:t>
      </w:r>
    </w:p>
    <w:p>
      <w:pPr>
        <w:widowControl/>
        <w:spacing w:line="360" w:lineRule="auto"/>
        <w:jc w:val="left"/>
        <w:rPr>
          <w:rFonts w:hint="eastAsia" w:ascii="宋体" w:hAnsi="宋体" w:eastAsia="宋体" w:cs="宋体"/>
          <w:kern w:val="0"/>
          <w:sz w:val="21"/>
          <w:szCs w:val="21"/>
        </w:rPr>
      </w:pPr>
    </w:p>
    <w:p>
      <w:pPr>
        <w:rPr>
          <w:rFonts w:hint="eastAsia" w:ascii="宋体" w:hAnsi="宋体" w:eastAsia="宋体" w:cs="宋体"/>
          <w:kern w:val="0"/>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E4E01"/>
    <w:multiLevelType w:val="multilevel"/>
    <w:tmpl w:val="412E4E0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5A586B70"/>
    <w:multiLevelType w:val="singleLevel"/>
    <w:tmpl w:val="5A586B70"/>
    <w:lvl w:ilvl="0" w:tentative="0">
      <w:start w:val="1"/>
      <w:numFmt w:val="decimal"/>
      <w:lvlText w:val="%1)"/>
      <w:lvlJc w:val="left"/>
      <w:pPr>
        <w:ind w:left="425" w:hanging="425"/>
      </w:pPr>
      <w:rPr>
        <w:rFonts w:hint="default"/>
      </w:rPr>
    </w:lvl>
  </w:abstractNum>
  <w:abstractNum w:abstractNumId="2">
    <w:nsid w:val="6214CC25"/>
    <w:multiLevelType w:val="singleLevel"/>
    <w:tmpl w:val="6214CC25"/>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35D7"/>
    <w:rsid w:val="0000590A"/>
    <w:rsid w:val="00006712"/>
    <w:rsid w:val="00010F31"/>
    <w:rsid w:val="000111F5"/>
    <w:rsid w:val="000169DD"/>
    <w:rsid w:val="00021237"/>
    <w:rsid w:val="00022AFD"/>
    <w:rsid w:val="000230BD"/>
    <w:rsid w:val="00023476"/>
    <w:rsid w:val="000236D2"/>
    <w:rsid w:val="00024C64"/>
    <w:rsid w:val="00025206"/>
    <w:rsid w:val="00027A0F"/>
    <w:rsid w:val="0003068E"/>
    <w:rsid w:val="00030A02"/>
    <w:rsid w:val="00031403"/>
    <w:rsid w:val="000362BD"/>
    <w:rsid w:val="00040016"/>
    <w:rsid w:val="000402B0"/>
    <w:rsid w:val="00041148"/>
    <w:rsid w:val="00041BDA"/>
    <w:rsid w:val="00044B87"/>
    <w:rsid w:val="00046229"/>
    <w:rsid w:val="000519A2"/>
    <w:rsid w:val="00051A3D"/>
    <w:rsid w:val="0005389A"/>
    <w:rsid w:val="00060047"/>
    <w:rsid w:val="0006181E"/>
    <w:rsid w:val="00061D57"/>
    <w:rsid w:val="00065242"/>
    <w:rsid w:val="00067D4B"/>
    <w:rsid w:val="00080ABE"/>
    <w:rsid w:val="000820F9"/>
    <w:rsid w:val="000840CC"/>
    <w:rsid w:val="0009206E"/>
    <w:rsid w:val="000954F4"/>
    <w:rsid w:val="000A0A86"/>
    <w:rsid w:val="000A2A22"/>
    <w:rsid w:val="000A4030"/>
    <w:rsid w:val="000A5251"/>
    <w:rsid w:val="000A5300"/>
    <w:rsid w:val="000B1A29"/>
    <w:rsid w:val="000B488B"/>
    <w:rsid w:val="000B7193"/>
    <w:rsid w:val="000C2F7C"/>
    <w:rsid w:val="000C3F5B"/>
    <w:rsid w:val="000C4CE9"/>
    <w:rsid w:val="000C4E56"/>
    <w:rsid w:val="000C5C18"/>
    <w:rsid w:val="000C7850"/>
    <w:rsid w:val="000C7F9A"/>
    <w:rsid w:val="000D3060"/>
    <w:rsid w:val="000D4BC5"/>
    <w:rsid w:val="000E0A79"/>
    <w:rsid w:val="000E1209"/>
    <w:rsid w:val="000E71FC"/>
    <w:rsid w:val="000E7915"/>
    <w:rsid w:val="000F10F6"/>
    <w:rsid w:val="000F140D"/>
    <w:rsid w:val="000F168E"/>
    <w:rsid w:val="000F6E7C"/>
    <w:rsid w:val="00100174"/>
    <w:rsid w:val="001013E1"/>
    <w:rsid w:val="0010196F"/>
    <w:rsid w:val="001051AF"/>
    <w:rsid w:val="00106BA3"/>
    <w:rsid w:val="00110B1F"/>
    <w:rsid w:val="00110EDA"/>
    <w:rsid w:val="0011231F"/>
    <w:rsid w:val="00112EFC"/>
    <w:rsid w:val="001131EA"/>
    <w:rsid w:val="00116EF3"/>
    <w:rsid w:val="00120A5E"/>
    <w:rsid w:val="0012340B"/>
    <w:rsid w:val="0012488E"/>
    <w:rsid w:val="00124B0D"/>
    <w:rsid w:val="00125024"/>
    <w:rsid w:val="00127C1E"/>
    <w:rsid w:val="00127FE8"/>
    <w:rsid w:val="00131D30"/>
    <w:rsid w:val="00132D90"/>
    <w:rsid w:val="00134011"/>
    <w:rsid w:val="00135F93"/>
    <w:rsid w:val="00137744"/>
    <w:rsid w:val="00143294"/>
    <w:rsid w:val="00146AB9"/>
    <w:rsid w:val="00161054"/>
    <w:rsid w:val="00167799"/>
    <w:rsid w:val="00167C8D"/>
    <w:rsid w:val="00170451"/>
    <w:rsid w:val="00173611"/>
    <w:rsid w:val="001738F0"/>
    <w:rsid w:val="00176F21"/>
    <w:rsid w:val="00182E04"/>
    <w:rsid w:val="001834A2"/>
    <w:rsid w:val="00186190"/>
    <w:rsid w:val="00192C0F"/>
    <w:rsid w:val="001A0C7A"/>
    <w:rsid w:val="001A281F"/>
    <w:rsid w:val="001A42C9"/>
    <w:rsid w:val="001A7D56"/>
    <w:rsid w:val="001B1730"/>
    <w:rsid w:val="001B735C"/>
    <w:rsid w:val="001C1A51"/>
    <w:rsid w:val="001C58F1"/>
    <w:rsid w:val="001C6985"/>
    <w:rsid w:val="001D2C48"/>
    <w:rsid w:val="001D4042"/>
    <w:rsid w:val="001D458C"/>
    <w:rsid w:val="001D4EF4"/>
    <w:rsid w:val="001E31D7"/>
    <w:rsid w:val="001E5D98"/>
    <w:rsid w:val="001E6096"/>
    <w:rsid w:val="001F49A8"/>
    <w:rsid w:val="001F5524"/>
    <w:rsid w:val="00201963"/>
    <w:rsid w:val="00202030"/>
    <w:rsid w:val="00203BFF"/>
    <w:rsid w:val="002133F2"/>
    <w:rsid w:val="00213D09"/>
    <w:rsid w:val="0021575D"/>
    <w:rsid w:val="0021711E"/>
    <w:rsid w:val="002202A8"/>
    <w:rsid w:val="00220E2D"/>
    <w:rsid w:val="002211FB"/>
    <w:rsid w:val="0022214B"/>
    <w:rsid w:val="002274D9"/>
    <w:rsid w:val="00230EA2"/>
    <w:rsid w:val="0023347E"/>
    <w:rsid w:val="002441C6"/>
    <w:rsid w:val="0024447C"/>
    <w:rsid w:val="002449A1"/>
    <w:rsid w:val="0024592F"/>
    <w:rsid w:val="00251642"/>
    <w:rsid w:val="00255140"/>
    <w:rsid w:val="00257E0D"/>
    <w:rsid w:val="00261406"/>
    <w:rsid w:val="00261C11"/>
    <w:rsid w:val="00271BCB"/>
    <w:rsid w:val="00275270"/>
    <w:rsid w:val="0028056A"/>
    <w:rsid w:val="002852EE"/>
    <w:rsid w:val="00286D6A"/>
    <w:rsid w:val="0029179F"/>
    <w:rsid w:val="00292326"/>
    <w:rsid w:val="00295361"/>
    <w:rsid w:val="00296348"/>
    <w:rsid w:val="00297E1A"/>
    <w:rsid w:val="002A402F"/>
    <w:rsid w:val="002B36B8"/>
    <w:rsid w:val="002B38F6"/>
    <w:rsid w:val="002B61DD"/>
    <w:rsid w:val="002B7076"/>
    <w:rsid w:val="002C2028"/>
    <w:rsid w:val="002C229B"/>
    <w:rsid w:val="002C27D4"/>
    <w:rsid w:val="002C3134"/>
    <w:rsid w:val="002C6AEB"/>
    <w:rsid w:val="002C722D"/>
    <w:rsid w:val="002D04D0"/>
    <w:rsid w:val="002D76B2"/>
    <w:rsid w:val="002D7905"/>
    <w:rsid w:val="002D7B20"/>
    <w:rsid w:val="002E1476"/>
    <w:rsid w:val="002E3299"/>
    <w:rsid w:val="002E4985"/>
    <w:rsid w:val="002E56FC"/>
    <w:rsid w:val="002E64CC"/>
    <w:rsid w:val="002F04E4"/>
    <w:rsid w:val="002F1A53"/>
    <w:rsid w:val="002F3568"/>
    <w:rsid w:val="002F7AB9"/>
    <w:rsid w:val="0030157A"/>
    <w:rsid w:val="00302995"/>
    <w:rsid w:val="00303D3D"/>
    <w:rsid w:val="00304A96"/>
    <w:rsid w:val="00314B46"/>
    <w:rsid w:val="0031712B"/>
    <w:rsid w:val="0032092A"/>
    <w:rsid w:val="00321528"/>
    <w:rsid w:val="00321717"/>
    <w:rsid w:val="00321D5F"/>
    <w:rsid w:val="0032233E"/>
    <w:rsid w:val="00330E7E"/>
    <w:rsid w:val="00330EF0"/>
    <w:rsid w:val="00333C15"/>
    <w:rsid w:val="00342D9D"/>
    <w:rsid w:val="00342E7E"/>
    <w:rsid w:val="003440CB"/>
    <w:rsid w:val="003504A0"/>
    <w:rsid w:val="00352A1D"/>
    <w:rsid w:val="00353816"/>
    <w:rsid w:val="00361CCF"/>
    <w:rsid w:val="00364A0C"/>
    <w:rsid w:val="00373831"/>
    <w:rsid w:val="003738EA"/>
    <w:rsid w:val="00375491"/>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4151"/>
    <w:rsid w:val="003B669C"/>
    <w:rsid w:val="003B786E"/>
    <w:rsid w:val="003C6EF7"/>
    <w:rsid w:val="003D092D"/>
    <w:rsid w:val="003D0F7B"/>
    <w:rsid w:val="003D0FE9"/>
    <w:rsid w:val="003D2BCE"/>
    <w:rsid w:val="003D4037"/>
    <w:rsid w:val="003D4529"/>
    <w:rsid w:val="003D4B46"/>
    <w:rsid w:val="003D5F48"/>
    <w:rsid w:val="003E01B3"/>
    <w:rsid w:val="003E3199"/>
    <w:rsid w:val="003E7DA0"/>
    <w:rsid w:val="003F050A"/>
    <w:rsid w:val="003F059B"/>
    <w:rsid w:val="003F50D1"/>
    <w:rsid w:val="003F5F88"/>
    <w:rsid w:val="00405970"/>
    <w:rsid w:val="0041273F"/>
    <w:rsid w:val="0042204E"/>
    <w:rsid w:val="00426325"/>
    <w:rsid w:val="00430241"/>
    <w:rsid w:val="00437A33"/>
    <w:rsid w:val="004469A3"/>
    <w:rsid w:val="00451D5D"/>
    <w:rsid w:val="0045270B"/>
    <w:rsid w:val="00454515"/>
    <w:rsid w:val="00454C45"/>
    <w:rsid w:val="004624BE"/>
    <w:rsid w:val="00465A92"/>
    <w:rsid w:val="004679CE"/>
    <w:rsid w:val="00470270"/>
    <w:rsid w:val="00471CBF"/>
    <w:rsid w:val="00472046"/>
    <w:rsid w:val="00475E73"/>
    <w:rsid w:val="0048136E"/>
    <w:rsid w:val="00482A07"/>
    <w:rsid w:val="00485AD1"/>
    <w:rsid w:val="00486AA5"/>
    <w:rsid w:val="004878DF"/>
    <w:rsid w:val="00492EC8"/>
    <w:rsid w:val="004932B6"/>
    <w:rsid w:val="004946E0"/>
    <w:rsid w:val="00495E6D"/>
    <w:rsid w:val="004A1602"/>
    <w:rsid w:val="004A51A8"/>
    <w:rsid w:val="004B02BE"/>
    <w:rsid w:val="004B49B7"/>
    <w:rsid w:val="004B49EE"/>
    <w:rsid w:val="004B4D89"/>
    <w:rsid w:val="004B516E"/>
    <w:rsid w:val="004C0E26"/>
    <w:rsid w:val="004C343D"/>
    <w:rsid w:val="004C5277"/>
    <w:rsid w:val="004C6632"/>
    <w:rsid w:val="004D2423"/>
    <w:rsid w:val="004D3884"/>
    <w:rsid w:val="004D5BBA"/>
    <w:rsid w:val="004E0748"/>
    <w:rsid w:val="004E5D03"/>
    <w:rsid w:val="004E728E"/>
    <w:rsid w:val="004F0AAB"/>
    <w:rsid w:val="004F23F6"/>
    <w:rsid w:val="004F47B7"/>
    <w:rsid w:val="004F743F"/>
    <w:rsid w:val="004F7C1B"/>
    <w:rsid w:val="00500A8F"/>
    <w:rsid w:val="00503289"/>
    <w:rsid w:val="005043E9"/>
    <w:rsid w:val="00505181"/>
    <w:rsid w:val="005060F9"/>
    <w:rsid w:val="005109DD"/>
    <w:rsid w:val="0051106C"/>
    <w:rsid w:val="00512BAE"/>
    <w:rsid w:val="00513DCA"/>
    <w:rsid w:val="00520C0E"/>
    <w:rsid w:val="00522EAE"/>
    <w:rsid w:val="005250F2"/>
    <w:rsid w:val="00525703"/>
    <w:rsid w:val="005260BE"/>
    <w:rsid w:val="00527573"/>
    <w:rsid w:val="005326B5"/>
    <w:rsid w:val="005339BB"/>
    <w:rsid w:val="00535F08"/>
    <w:rsid w:val="00536F45"/>
    <w:rsid w:val="00537EE6"/>
    <w:rsid w:val="0054326D"/>
    <w:rsid w:val="005447E3"/>
    <w:rsid w:val="00547E75"/>
    <w:rsid w:val="00555016"/>
    <w:rsid w:val="00556212"/>
    <w:rsid w:val="005606AC"/>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6D1A"/>
    <w:rsid w:val="005A31F5"/>
    <w:rsid w:val="005A39D7"/>
    <w:rsid w:val="005A65C8"/>
    <w:rsid w:val="005B5D60"/>
    <w:rsid w:val="005B69C2"/>
    <w:rsid w:val="005C27A1"/>
    <w:rsid w:val="005C67D4"/>
    <w:rsid w:val="005C7CC0"/>
    <w:rsid w:val="005D0683"/>
    <w:rsid w:val="005D6F09"/>
    <w:rsid w:val="005E035C"/>
    <w:rsid w:val="005E31CF"/>
    <w:rsid w:val="005E5A41"/>
    <w:rsid w:val="005E674A"/>
    <w:rsid w:val="005E6E17"/>
    <w:rsid w:val="005F6112"/>
    <w:rsid w:val="00602232"/>
    <w:rsid w:val="00602BE7"/>
    <w:rsid w:val="00602E62"/>
    <w:rsid w:val="00606AA2"/>
    <w:rsid w:val="00606C4F"/>
    <w:rsid w:val="006107DC"/>
    <w:rsid w:val="0061228A"/>
    <w:rsid w:val="00613FA7"/>
    <w:rsid w:val="00617A76"/>
    <w:rsid w:val="00621ED0"/>
    <w:rsid w:val="00622238"/>
    <w:rsid w:val="00624BB2"/>
    <w:rsid w:val="006316FD"/>
    <w:rsid w:val="00632329"/>
    <w:rsid w:val="00632E77"/>
    <w:rsid w:val="006361BC"/>
    <w:rsid w:val="00636A3C"/>
    <w:rsid w:val="00637AD1"/>
    <w:rsid w:val="00642CD5"/>
    <w:rsid w:val="006452B3"/>
    <w:rsid w:val="00645792"/>
    <w:rsid w:val="0066295A"/>
    <w:rsid w:val="00663035"/>
    <w:rsid w:val="00664055"/>
    <w:rsid w:val="00666CF9"/>
    <w:rsid w:val="00667457"/>
    <w:rsid w:val="00667A61"/>
    <w:rsid w:val="00670ED6"/>
    <w:rsid w:val="00673E32"/>
    <w:rsid w:val="006740B4"/>
    <w:rsid w:val="00674734"/>
    <w:rsid w:val="0067541F"/>
    <w:rsid w:val="00680DB3"/>
    <w:rsid w:val="006858D5"/>
    <w:rsid w:val="00687DBB"/>
    <w:rsid w:val="00696B1C"/>
    <w:rsid w:val="0069732D"/>
    <w:rsid w:val="006A2B5F"/>
    <w:rsid w:val="006A32C4"/>
    <w:rsid w:val="006A72B8"/>
    <w:rsid w:val="006B576E"/>
    <w:rsid w:val="006C1F05"/>
    <w:rsid w:val="006C2070"/>
    <w:rsid w:val="006D5B15"/>
    <w:rsid w:val="006D5C62"/>
    <w:rsid w:val="006D642C"/>
    <w:rsid w:val="006E3A9C"/>
    <w:rsid w:val="006F038D"/>
    <w:rsid w:val="00700EA9"/>
    <w:rsid w:val="0070255A"/>
    <w:rsid w:val="00705BEF"/>
    <w:rsid w:val="00706179"/>
    <w:rsid w:val="007113DD"/>
    <w:rsid w:val="0071430B"/>
    <w:rsid w:val="00720659"/>
    <w:rsid w:val="0072201D"/>
    <w:rsid w:val="00725BDB"/>
    <w:rsid w:val="00733292"/>
    <w:rsid w:val="0073607E"/>
    <w:rsid w:val="00736663"/>
    <w:rsid w:val="007368D2"/>
    <w:rsid w:val="007423FD"/>
    <w:rsid w:val="0074285A"/>
    <w:rsid w:val="00756E5C"/>
    <w:rsid w:val="00757990"/>
    <w:rsid w:val="00760C7A"/>
    <w:rsid w:val="007619AD"/>
    <w:rsid w:val="007622EA"/>
    <w:rsid w:val="00762330"/>
    <w:rsid w:val="007640E0"/>
    <w:rsid w:val="007652B1"/>
    <w:rsid w:val="00770616"/>
    <w:rsid w:val="00770E19"/>
    <w:rsid w:val="00772E22"/>
    <w:rsid w:val="0077332B"/>
    <w:rsid w:val="00774257"/>
    <w:rsid w:val="00775505"/>
    <w:rsid w:val="00776AE1"/>
    <w:rsid w:val="0078218F"/>
    <w:rsid w:val="00785C31"/>
    <w:rsid w:val="00793276"/>
    <w:rsid w:val="007A01B4"/>
    <w:rsid w:val="007A03BE"/>
    <w:rsid w:val="007A07E5"/>
    <w:rsid w:val="007A136C"/>
    <w:rsid w:val="007A385D"/>
    <w:rsid w:val="007A3E79"/>
    <w:rsid w:val="007A463F"/>
    <w:rsid w:val="007A7362"/>
    <w:rsid w:val="007B0667"/>
    <w:rsid w:val="007B5A17"/>
    <w:rsid w:val="007B648A"/>
    <w:rsid w:val="007B7729"/>
    <w:rsid w:val="007C2153"/>
    <w:rsid w:val="007C3B74"/>
    <w:rsid w:val="007C66DE"/>
    <w:rsid w:val="007D0768"/>
    <w:rsid w:val="007D224F"/>
    <w:rsid w:val="007D62F3"/>
    <w:rsid w:val="007E0C8A"/>
    <w:rsid w:val="007E0E50"/>
    <w:rsid w:val="007E3816"/>
    <w:rsid w:val="007E513A"/>
    <w:rsid w:val="007F5700"/>
    <w:rsid w:val="007F79E2"/>
    <w:rsid w:val="00802548"/>
    <w:rsid w:val="00802957"/>
    <w:rsid w:val="00802B47"/>
    <w:rsid w:val="008062A9"/>
    <w:rsid w:val="00814AA6"/>
    <w:rsid w:val="008153A8"/>
    <w:rsid w:val="008267EE"/>
    <w:rsid w:val="0083050D"/>
    <w:rsid w:val="00832E9B"/>
    <w:rsid w:val="0084273E"/>
    <w:rsid w:val="008432ED"/>
    <w:rsid w:val="00843F7D"/>
    <w:rsid w:val="008450F3"/>
    <w:rsid w:val="00855260"/>
    <w:rsid w:val="00860271"/>
    <w:rsid w:val="0086227D"/>
    <w:rsid w:val="00863FEE"/>
    <w:rsid w:val="008653E0"/>
    <w:rsid w:val="008730BB"/>
    <w:rsid w:val="00880B5C"/>
    <w:rsid w:val="00881CA9"/>
    <w:rsid w:val="00883821"/>
    <w:rsid w:val="0088500C"/>
    <w:rsid w:val="0088679A"/>
    <w:rsid w:val="0089014A"/>
    <w:rsid w:val="008902CF"/>
    <w:rsid w:val="008966E9"/>
    <w:rsid w:val="00896C20"/>
    <w:rsid w:val="008976FE"/>
    <w:rsid w:val="008B188A"/>
    <w:rsid w:val="008B4A3B"/>
    <w:rsid w:val="008B56E5"/>
    <w:rsid w:val="008B6065"/>
    <w:rsid w:val="008C1F77"/>
    <w:rsid w:val="008D1223"/>
    <w:rsid w:val="008D3CFE"/>
    <w:rsid w:val="008D5E6C"/>
    <w:rsid w:val="008D7F16"/>
    <w:rsid w:val="008E08E2"/>
    <w:rsid w:val="008E160B"/>
    <w:rsid w:val="008E4534"/>
    <w:rsid w:val="008E54DB"/>
    <w:rsid w:val="008E7ACE"/>
    <w:rsid w:val="008F1045"/>
    <w:rsid w:val="009018E4"/>
    <w:rsid w:val="00903BED"/>
    <w:rsid w:val="00905613"/>
    <w:rsid w:val="00905BF1"/>
    <w:rsid w:val="009111B0"/>
    <w:rsid w:val="00913572"/>
    <w:rsid w:val="00915EF9"/>
    <w:rsid w:val="009171E7"/>
    <w:rsid w:val="00917A3B"/>
    <w:rsid w:val="0092087F"/>
    <w:rsid w:val="0092377F"/>
    <w:rsid w:val="009308D8"/>
    <w:rsid w:val="00930DF7"/>
    <w:rsid w:val="00936821"/>
    <w:rsid w:val="00936E5D"/>
    <w:rsid w:val="0094276A"/>
    <w:rsid w:val="00942C75"/>
    <w:rsid w:val="00951195"/>
    <w:rsid w:val="00952045"/>
    <w:rsid w:val="00952BA5"/>
    <w:rsid w:val="009554FB"/>
    <w:rsid w:val="00957EEC"/>
    <w:rsid w:val="00963696"/>
    <w:rsid w:val="009642E6"/>
    <w:rsid w:val="009645E2"/>
    <w:rsid w:val="00965CCC"/>
    <w:rsid w:val="00972BCD"/>
    <w:rsid w:val="0097304E"/>
    <w:rsid w:val="0097647D"/>
    <w:rsid w:val="00976B70"/>
    <w:rsid w:val="00983752"/>
    <w:rsid w:val="00983EF6"/>
    <w:rsid w:val="009927BE"/>
    <w:rsid w:val="00994EDE"/>
    <w:rsid w:val="009959F3"/>
    <w:rsid w:val="00995FFE"/>
    <w:rsid w:val="009A11C1"/>
    <w:rsid w:val="009A27F7"/>
    <w:rsid w:val="009A292D"/>
    <w:rsid w:val="009A4CAF"/>
    <w:rsid w:val="009A69B5"/>
    <w:rsid w:val="009B0D73"/>
    <w:rsid w:val="009B3167"/>
    <w:rsid w:val="009B34FA"/>
    <w:rsid w:val="009C020C"/>
    <w:rsid w:val="009C44ED"/>
    <w:rsid w:val="009C4A58"/>
    <w:rsid w:val="009C5700"/>
    <w:rsid w:val="009C5D67"/>
    <w:rsid w:val="009C5FEE"/>
    <w:rsid w:val="009C6763"/>
    <w:rsid w:val="009C698C"/>
    <w:rsid w:val="009C7A2D"/>
    <w:rsid w:val="009C7CE4"/>
    <w:rsid w:val="009D308A"/>
    <w:rsid w:val="009D72F9"/>
    <w:rsid w:val="009E18AF"/>
    <w:rsid w:val="009E4A3B"/>
    <w:rsid w:val="009E5D88"/>
    <w:rsid w:val="009F0653"/>
    <w:rsid w:val="009F09C7"/>
    <w:rsid w:val="009F7FCB"/>
    <w:rsid w:val="00A0066B"/>
    <w:rsid w:val="00A00B17"/>
    <w:rsid w:val="00A01568"/>
    <w:rsid w:val="00A057AC"/>
    <w:rsid w:val="00A1042E"/>
    <w:rsid w:val="00A1794D"/>
    <w:rsid w:val="00A207E1"/>
    <w:rsid w:val="00A220C6"/>
    <w:rsid w:val="00A2358C"/>
    <w:rsid w:val="00A2663A"/>
    <w:rsid w:val="00A31C85"/>
    <w:rsid w:val="00A32C2E"/>
    <w:rsid w:val="00A33A9E"/>
    <w:rsid w:val="00A44B61"/>
    <w:rsid w:val="00A45DC2"/>
    <w:rsid w:val="00A5260B"/>
    <w:rsid w:val="00A61F62"/>
    <w:rsid w:val="00A623DF"/>
    <w:rsid w:val="00A67B5E"/>
    <w:rsid w:val="00A72E16"/>
    <w:rsid w:val="00A730D0"/>
    <w:rsid w:val="00A76003"/>
    <w:rsid w:val="00A76D78"/>
    <w:rsid w:val="00A83140"/>
    <w:rsid w:val="00A84388"/>
    <w:rsid w:val="00A843DA"/>
    <w:rsid w:val="00A84830"/>
    <w:rsid w:val="00A96197"/>
    <w:rsid w:val="00AA2334"/>
    <w:rsid w:val="00AA4DC4"/>
    <w:rsid w:val="00AB05C6"/>
    <w:rsid w:val="00AB3244"/>
    <w:rsid w:val="00AB66D7"/>
    <w:rsid w:val="00AB694F"/>
    <w:rsid w:val="00AC32C6"/>
    <w:rsid w:val="00AD7BA1"/>
    <w:rsid w:val="00AF1933"/>
    <w:rsid w:val="00AF5247"/>
    <w:rsid w:val="00AF6D2A"/>
    <w:rsid w:val="00AF78C6"/>
    <w:rsid w:val="00AF7CB4"/>
    <w:rsid w:val="00B00961"/>
    <w:rsid w:val="00B01ADE"/>
    <w:rsid w:val="00B06BA6"/>
    <w:rsid w:val="00B12237"/>
    <w:rsid w:val="00B12F3C"/>
    <w:rsid w:val="00B133E0"/>
    <w:rsid w:val="00B22EB0"/>
    <w:rsid w:val="00B24FF7"/>
    <w:rsid w:val="00B2543C"/>
    <w:rsid w:val="00B26192"/>
    <w:rsid w:val="00B262CD"/>
    <w:rsid w:val="00B316D1"/>
    <w:rsid w:val="00B33C5E"/>
    <w:rsid w:val="00B40A66"/>
    <w:rsid w:val="00B41090"/>
    <w:rsid w:val="00B4365A"/>
    <w:rsid w:val="00B50454"/>
    <w:rsid w:val="00B50CF4"/>
    <w:rsid w:val="00B57B39"/>
    <w:rsid w:val="00B60E9C"/>
    <w:rsid w:val="00B6632A"/>
    <w:rsid w:val="00B668E6"/>
    <w:rsid w:val="00B67702"/>
    <w:rsid w:val="00B67C18"/>
    <w:rsid w:val="00B74F9C"/>
    <w:rsid w:val="00B769E3"/>
    <w:rsid w:val="00B801E0"/>
    <w:rsid w:val="00B80489"/>
    <w:rsid w:val="00B83422"/>
    <w:rsid w:val="00B841C1"/>
    <w:rsid w:val="00B8765A"/>
    <w:rsid w:val="00B87D41"/>
    <w:rsid w:val="00B955B3"/>
    <w:rsid w:val="00BA15F6"/>
    <w:rsid w:val="00BA7431"/>
    <w:rsid w:val="00BB0CAA"/>
    <w:rsid w:val="00BB11A8"/>
    <w:rsid w:val="00BB2026"/>
    <w:rsid w:val="00BC1BD9"/>
    <w:rsid w:val="00BC3B43"/>
    <w:rsid w:val="00BC52DF"/>
    <w:rsid w:val="00BC5535"/>
    <w:rsid w:val="00BD0BB7"/>
    <w:rsid w:val="00BD1289"/>
    <w:rsid w:val="00BD6A1A"/>
    <w:rsid w:val="00BE02A7"/>
    <w:rsid w:val="00BE2788"/>
    <w:rsid w:val="00BE6F4C"/>
    <w:rsid w:val="00BE7E70"/>
    <w:rsid w:val="00BF460C"/>
    <w:rsid w:val="00BF5F9C"/>
    <w:rsid w:val="00C02F99"/>
    <w:rsid w:val="00C03770"/>
    <w:rsid w:val="00C05D8E"/>
    <w:rsid w:val="00C06B20"/>
    <w:rsid w:val="00C06CBE"/>
    <w:rsid w:val="00C123C3"/>
    <w:rsid w:val="00C126DF"/>
    <w:rsid w:val="00C15DBB"/>
    <w:rsid w:val="00C31E3B"/>
    <w:rsid w:val="00C369C9"/>
    <w:rsid w:val="00C444EA"/>
    <w:rsid w:val="00C50DF8"/>
    <w:rsid w:val="00C5114A"/>
    <w:rsid w:val="00C55BB5"/>
    <w:rsid w:val="00C64953"/>
    <w:rsid w:val="00C674F1"/>
    <w:rsid w:val="00C745E3"/>
    <w:rsid w:val="00C75C2E"/>
    <w:rsid w:val="00C766EF"/>
    <w:rsid w:val="00C773FC"/>
    <w:rsid w:val="00C807AA"/>
    <w:rsid w:val="00C80EE6"/>
    <w:rsid w:val="00C817A7"/>
    <w:rsid w:val="00C861B2"/>
    <w:rsid w:val="00C86975"/>
    <w:rsid w:val="00CA2A8B"/>
    <w:rsid w:val="00CA65E9"/>
    <w:rsid w:val="00CB4339"/>
    <w:rsid w:val="00CB49F9"/>
    <w:rsid w:val="00CB6A55"/>
    <w:rsid w:val="00CC06D4"/>
    <w:rsid w:val="00CC06FA"/>
    <w:rsid w:val="00CC1890"/>
    <w:rsid w:val="00CC33CC"/>
    <w:rsid w:val="00CC480B"/>
    <w:rsid w:val="00CC5A47"/>
    <w:rsid w:val="00CC72C5"/>
    <w:rsid w:val="00CC7310"/>
    <w:rsid w:val="00CD332E"/>
    <w:rsid w:val="00CD41C2"/>
    <w:rsid w:val="00CD521B"/>
    <w:rsid w:val="00CE06FC"/>
    <w:rsid w:val="00CE4335"/>
    <w:rsid w:val="00CE665F"/>
    <w:rsid w:val="00CF197E"/>
    <w:rsid w:val="00CF5040"/>
    <w:rsid w:val="00D03331"/>
    <w:rsid w:val="00D073EA"/>
    <w:rsid w:val="00D121AC"/>
    <w:rsid w:val="00D12776"/>
    <w:rsid w:val="00D12D35"/>
    <w:rsid w:val="00D2092D"/>
    <w:rsid w:val="00D31AFE"/>
    <w:rsid w:val="00D332D6"/>
    <w:rsid w:val="00D346FC"/>
    <w:rsid w:val="00D35444"/>
    <w:rsid w:val="00D3691D"/>
    <w:rsid w:val="00D371C4"/>
    <w:rsid w:val="00D41ADE"/>
    <w:rsid w:val="00D461B3"/>
    <w:rsid w:val="00D471D1"/>
    <w:rsid w:val="00D50E81"/>
    <w:rsid w:val="00D54092"/>
    <w:rsid w:val="00D56A55"/>
    <w:rsid w:val="00D60EC2"/>
    <w:rsid w:val="00D634D8"/>
    <w:rsid w:val="00D63C2D"/>
    <w:rsid w:val="00D651FF"/>
    <w:rsid w:val="00D65A32"/>
    <w:rsid w:val="00D71DEB"/>
    <w:rsid w:val="00D73882"/>
    <w:rsid w:val="00D80609"/>
    <w:rsid w:val="00D82BB6"/>
    <w:rsid w:val="00D96CBF"/>
    <w:rsid w:val="00DA100A"/>
    <w:rsid w:val="00DA25AD"/>
    <w:rsid w:val="00DA50A2"/>
    <w:rsid w:val="00DA73E5"/>
    <w:rsid w:val="00DB0090"/>
    <w:rsid w:val="00DB1679"/>
    <w:rsid w:val="00DB6C8F"/>
    <w:rsid w:val="00DC2F1C"/>
    <w:rsid w:val="00DC2F84"/>
    <w:rsid w:val="00DC4BA2"/>
    <w:rsid w:val="00DD492C"/>
    <w:rsid w:val="00DD4C8D"/>
    <w:rsid w:val="00DD7FB4"/>
    <w:rsid w:val="00DE477C"/>
    <w:rsid w:val="00DE7CB6"/>
    <w:rsid w:val="00DF1C7E"/>
    <w:rsid w:val="00DF269B"/>
    <w:rsid w:val="00DF4AB0"/>
    <w:rsid w:val="00DF66EE"/>
    <w:rsid w:val="00DF6776"/>
    <w:rsid w:val="00DF6B22"/>
    <w:rsid w:val="00E00245"/>
    <w:rsid w:val="00E00371"/>
    <w:rsid w:val="00E07A31"/>
    <w:rsid w:val="00E17346"/>
    <w:rsid w:val="00E21BE2"/>
    <w:rsid w:val="00E22994"/>
    <w:rsid w:val="00E23047"/>
    <w:rsid w:val="00E23270"/>
    <w:rsid w:val="00E24168"/>
    <w:rsid w:val="00E309FD"/>
    <w:rsid w:val="00E403D4"/>
    <w:rsid w:val="00E40561"/>
    <w:rsid w:val="00E414F9"/>
    <w:rsid w:val="00E50150"/>
    <w:rsid w:val="00E5049F"/>
    <w:rsid w:val="00E504D8"/>
    <w:rsid w:val="00E61308"/>
    <w:rsid w:val="00E61E70"/>
    <w:rsid w:val="00E64653"/>
    <w:rsid w:val="00E64D3E"/>
    <w:rsid w:val="00E67E38"/>
    <w:rsid w:val="00E76995"/>
    <w:rsid w:val="00E80E43"/>
    <w:rsid w:val="00E81E92"/>
    <w:rsid w:val="00E8311C"/>
    <w:rsid w:val="00E879A7"/>
    <w:rsid w:val="00E87A04"/>
    <w:rsid w:val="00E922B4"/>
    <w:rsid w:val="00E94534"/>
    <w:rsid w:val="00E97970"/>
    <w:rsid w:val="00EA4003"/>
    <w:rsid w:val="00EA5642"/>
    <w:rsid w:val="00EB0151"/>
    <w:rsid w:val="00EB2B49"/>
    <w:rsid w:val="00EB5B3E"/>
    <w:rsid w:val="00EB7ED2"/>
    <w:rsid w:val="00EC43C8"/>
    <w:rsid w:val="00ED07EE"/>
    <w:rsid w:val="00ED1806"/>
    <w:rsid w:val="00ED205C"/>
    <w:rsid w:val="00ED36BD"/>
    <w:rsid w:val="00ED3F02"/>
    <w:rsid w:val="00ED457C"/>
    <w:rsid w:val="00EE0709"/>
    <w:rsid w:val="00EE0B92"/>
    <w:rsid w:val="00EE0F0E"/>
    <w:rsid w:val="00EE2860"/>
    <w:rsid w:val="00EE68D2"/>
    <w:rsid w:val="00EF14B7"/>
    <w:rsid w:val="00EF44AD"/>
    <w:rsid w:val="00F014F8"/>
    <w:rsid w:val="00F13937"/>
    <w:rsid w:val="00F16A9D"/>
    <w:rsid w:val="00F17267"/>
    <w:rsid w:val="00F21E1D"/>
    <w:rsid w:val="00F22886"/>
    <w:rsid w:val="00F27587"/>
    <w:rsid w:val="00F307F9"/>
    <w:rsid w:val="00F3131F"/>
    <w:rsid w:val="00F32538"/>
    <w:rsid w:val="00F32FBC"/>
    <w:rsid w:val="00F34A00"/>
    <w:rsid w:val="00F34D93"/>
    <w:rsid w:val="00F41E01"/>
    <w:rsid w:val="00F4389F"/>
    <w:rsid w:val="00F62AEB"/>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79AC"/>
    <w:rsid w:val="00FA6353"/>
    <w:rsid w:val="00FB32DE"/>
    <w:rsid w:val="00FB3ADA"/>
    <w:rsid w:val="00FB7A50"/>
    <w:rsid w:val="00FC0DF5"/>
    <w:rsid w:val="00FC44B5"/>
    <w:rsid w:val="00FC6127"/>
    <w:rsid w:val="00FC7A4D"/>
    <w:rsid w:val="00FD08A0"/>
    <w:rsid w:val="00FD1F63"/>
    <w:rsid w:val="00FD2E42"/>
    <w:rsid w:val="00FD4AA6"/>
    <w:rsid w:val="00FD6CD6"/>
    <w:rsid w:val="00FE2B9E"/>
    <w:rsid w:val="00FE6123"/>
    <w:rsid w:val="00FE6555"/>
    <w:rsid w:val="00FE6E03"/>
    <w:rsid w:val="00FF51E1"/>
    <w:rsid w:val="00FF5862"/>
    <w:rsid w:val="00FF672A"/>
    <w:rsid w:val="1E602AF7"/>
    <w:rsid w:val="20704A4B"/>
    <w:rsid w:val="275444F7"/>
    <w:rsid w:val="4CCE4EF5"/>
    <w:rsid w:val="5E9426F6"/>
    <w:rsid w:val="76D9059D"/>
    <w:rsid w:val="7D936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19B4C-C999-46E8-B118-9A67B942405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431</Words>
  <Characters>2462</Characters>
  <Lines>20</Lines>
  <Paragraphs>5</Paragraphs>
  <TotalTime>0</TotalTime>
  <ScaleCrop>false</ScaleCrop>
  <LinksUpToDate>false</LinksUpToDate>
  <CharactersWithSpaces>2888</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2018-11-27T10:49:00Z</dcterms:created>
  <dc:creator>全美国际教育协会</dc:creator>
  <cp:lastModifiedBy>USIEA-Melody</cp:lastModifiedBy>
  <cp:lastPrinted>2011-12-16T08:54:00Z</cp:lastPrinted>
  <dcterms:modified xsi:type="dcterms:W3CDTF">2019-08-20T09:59:07Z</dcterms:modified>
  <dc:title>加州大学河滨分校短期访学项目</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